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70BE" w14:textId="77777777" w:rsidR="00A610D7" w:rsidRDefault="00000000">
      <w:pPr>
        <w:jc w:val="center"/>
        <w:rPr>
          <w:rFonts w:ascii="Arial" w:hAnsi="Arial"/>
        </w:rPr>
      </w:pPr>
      <w:r>
        <w:rPr>
          <w:rFonts w:ascii="Arial" w:hAnsi="Arial" w:cs="Times New Roman"/>
          <w:b/>
        </w:rPr>
        <w:t>ANEXO VII - MODELO DE INSTRUMENTO DE MEDIÇÃO E RESULTADO (IMR)</w:t>
      </w:r>
    </w:p>
    <w:p w14:paraId="275AEF15" w14:textId="77777777" w:rsidR="00A610D7" w:rsidRDefault="00A610D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692CC19" w14:textId="77777777" w:rsidR="00A610D7" w:rsidRDefault="00A610D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8ACC243" w14:textId="77777777" w:rsidR="00A610D7" w:rsidRDefault="00000000">
      <w:pPr>
        <w:pStyle w:val="Nivel1"/>
        <w:keepNext w:val="0"/>
        <w:keepLines w:val="0"/>
        <w:spacing w:before="0" w:line="240" w:lineRule="auto"/>
        <w:ind w:left="0" w:firstLine="0"/>
        <w:jc w:val="center"/>
      </w:pPr>
      <w:r>
        <w:t>MÓDULO 1</w:t>
      </w:r>
    </w:p>
    <w:p w14:paraId="06A53C64" w14:textId="77777777" w:rsidR="00A610D7" w:rsidRDefault="00A610D7">
      <w:pPr>
        <w:pStyle w:val="Nivel1"/>
        <w:spacing w:before="0" w:line="240" w:lineRule="auto"/>
        <w:ind w:left="0" w:firstLine="0"/>
        <w:jc w:val="center"/>
      </w:pPr>
    </w:p>
    <w:tbl>
      <w:tblPr>
        <w:tblW w:w="9678" w:type="dxa"/>
        <w:tblInd w:w="108" w:type="dxa"/>
        <w:tblLook w:val="0000" w:firstRow="0" w:lastRow="0" w:firstColumn="0" w:lastColumn="0" w:noHBand="0" w:noVBand="0"/>
      </w:tblPr>
      <w:tblGrid>
        <w:gridCol w:w="2505"/>
        <w:gridCol w:w="5394"/>
        <w:gridCol w:w="1779"/>
      </w:tblGrid>
      <w:tr w:rsidR="00A610D7" w:rsidRPr="00343056" w14:paraId="2174B70E" w14:textId="77777777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C0A76B6" w14:textId="77777777" w:rsidR="00A610D7" w:rsidRPr="00343056" w:rsidRDefault="000000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>Indicador nº 01</w:t>
            </w:r>
          </w:p>
        </w:tc>
        <w:tc>
          <w:tcPr>
            <w:tcW w:w="7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78E84E" w14:textId="77777777" w:rsidR="00A610D7" w:rsidRPr="00343056" w:rsidRDefault="000000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Atendimento ao Público Alvo </w:t>
            </w:r>
          </w:p>
        </w:tc>
      </w:tr>
      <w:tr w:rsidR="00A610D7" w:rsidRPr="00343056" w14:paraId="6ED61513" w14:textId="77777777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F48D7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7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A0ECA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Descrição</w:t>
            </w:r>
          </w:p>
        </w:tc>
      </w:tr>
      <w:tr w:rsidR="00A610D7" w:rsidRPr="00343056" w14:paraId="5D0C4699" w14:textId="77777777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374DD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7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F89D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Atender satisfatoriamente as obrigações estabelecidas pela PROAD</w:t>
            </w:r>
          </w:p>
        </w:tc>
      </w:tr>
      <w:tr w:rsidR="00A610D7" w:rsidRPr="00343056" w14:paraId="61745FEB" w14:textId="77777777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D31D3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Metas a cumprir</w:t>
            </w:r>
          </w:p>
        </w:tc>
        <w:tc>
          <w:tcPr>
            <w:tcW w:w="7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D481E" w14:textId="77777777" w:rsidR="00A610D7" w:rsidRPr="00343056" w:rsidRDefault="00000000">
            <w:pPr>
              <w:pStyle w:val="NormalJustificado"/>
              <w:tabs>
                <w:tab w:val="left" w:pos="851"/>
              </w:tabs>
              <w:rPr>
                <w:sz w:val="20"/>
                <w:szCs w:val="20"/>
              </w:rPr>
            </w:pPr>
            <w:r w:rsidRPr="00343056">
              <w:rPr>
                <w:sz w:val="20"/>
                <w:szCs w:val="20"/>
              </w:rPr>
              <w:t>100% (cem por cento) de satisfação das unidades que se utilizam do serviço</w:t>
            </w:r>
          </w:p>
        </w:tc>
      </w:tr>
      <w:tr w:rsidR="00A610D7" w:rsidRPr="00343056" w14:paraId="153D2E7C" w14:textId="77777777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909CFA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7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FE28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Apuração feita pela Fiscalização</w:t>
            </w:r>
          </w:p>
        </w:tc>
      </w:tr>
      <w:tr w:rsidR="00A610D7" w:rsidRPr="00343056" w14:paraId="097FD400" w14:textId="77777777">
        <w:trPr>
          <w:trHeight w:val="233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CF887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Mecanismo de Cálculo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736B3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TAREFAS AVALIADAS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3AD6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PONTUAÇÃO ESTABELECIDA</w:t>
            </w:r>
          </w:p>
        </w:tc>
      </w:tr>
      <w:tr w:rsidR="00A610D7" w:rsidRPr="00343056" w14:paraId="77465E8C" w14:textId="77777777">
        <w:trPr>
          <w:trHeight w:val="232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4B695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D168B" w14:textId="17F4D6A8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A cada</w:t>
            </w:r>
            <w:r w:rsidR="00343056" w:rsidRPr="00343056">
              <w:rPr>
                <w:rFonts w:ascii="Arial" w:hAnsi="Arial" w:cs="Arial"/>
                <w:sz w:val="20"/>
                <w:szCs w:val="20"/>
              </w:rPr>
              <w:t xml:space="preserve"> solicitação não atendida</w:t>
            </w:r>
            <w:r w:rsidRPr="003430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B6F9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610D7" w:rsidRPr="00343056" w14:paraId="362C2F3A" w14:textId="77777777">
        <w:trPr>
          <w:trHeight w:val="232"/>
        </w:trPr>
        <w:tc>
          <w:tcPr>
            <w:tcW w:w="250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A616DF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C84626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Monitoramento diário da prestação do serviço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F12E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610D7" w:rsidRPr="00343056" w14:paraId="5385B654" w14:textId="77777777">
        <w:trPr>
          <w:trHeight w:val="232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CA2C7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D9CE9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Apoio diário a procedimentos de fiscalização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970B6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610D7" w:rsidRPr="00343056" w14:paraId="7BEFECF3" w14:textId="77777777">
        <w:trPr>
          <w:trHeight w:val="232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0A7E8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655A2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 xml:space="preserve">Apresentação semanal de relatórios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0657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610D7" w:rsidRPr="00343056" w14:paraId="263FD31F" w14:textId="77777777">
        <w:trPr>
          <w:trHeight w:val="232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23312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E043E" w14:textId="6D585343" w:rsidR="00A610D7" w:rsidRPr="00343056" w:rsidRDefault="00343056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kern w:val="0"/>
                <w:sz w:val="20"/>
                <w:szCs w:val="20"/>
                <w:lang w:bidi="ar-SA"/>
              </w:rPr>
              <w:t>Não atender os requisitos básicos d</w:t>
            </w:r>
            <w:r w:rsidRPr="00343056">
              <w:rPr>
                <w:rFonts w:ascii="Arial" w:hAnsi="Arial" w:cs="Arial"/>
                <w:kern w:val="0"/>
                <w:sz w:val="20"/>
                <w:szCs w:val="20"/>
                <w:lang w:bidi="ar-SA"/>
              </w:rPr>
              <w:t>o contrato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9C09" w14:textId="75FF14BD" w:rsidR="00A610D7" w:rsidRPr="00343056" w:rsidRDefault="00343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610D7" w:rsidRPr="00343056" w14:paraId="7A39FD63" w14:textId="77777777">
        <w:trPr>
          <w:trHeight w:val="232"/>
        </w:trPr>
        <w:tc>
          <w:tcPr>
            <w:tcW w:w="250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931B88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94375B" w14:textId="77777777" w:rsidR="00A610D7" w:rsidRPr="00343056" w:rsidRDefault="00000000" w:rsidP="00343056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Bloquear, suspender ou interromper os serviços contratuais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C56C8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610D7" w:rsidRPr="00343056" w14:paraId="51CEC22D" w14:textId="77777777">
        <w:trPr>
          <w:trHeight w:val="232"/>
        </w:trPr>
        <w:tc>
          <w:tcPr>
            <w:tcW w:w="250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BAAACA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36C98C" w14:textId="493B14EB" w:rsidR="00A610D7" w:rsidRPr="00343056" w:rsidRDefault="00343056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Permitir a presença do empregado sem uniforme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C23F" w14:textId="597B75FC" w:rsidR="00A610D7" w:rsidRPr="00343056" w:rsidRDefault="00343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3056" w:rsidRPr="00343056" w14:paraId="1E2D2628" w14:textId="77777777">
        <w:trPr>
          <w:trHeight w:val="232"/>
        </w:trPr>
        <w:tc>
          <w:tcPr>
            <w:tcW w:w="250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FC29A5" w14:textId="77777777" w:rsidR="00343056" w:rsidRPr="00343056" w:rsidRDefault="00343056" w:rsidP="0034305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D644A1" w14:textId="6C00066E" w:rsidR="00343056" w:rsidRPr="00343056" w:rsidRDefault="00343056" w:rsidP="003430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kern w:val="0"/>
                <w:sz w:val="20"/>
                <w:szCs w:val="20"/>
                <w:lang w:bidi="ar-SA"/>
              </w:rPr>
              <w:t>Atendimento do preposto insatisfatório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3BC56" w14:textId="706A2F78" w:rsidR="00343056" w:rsidRPr="00343056" w:rsidRDefault="00343056" w:rsidP="00343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3056" w:rsidRPr="00343056" w14:paraId="12A69704" w14:textId="77777777">
        <w:trPr>
          <w:trHeight w:val="232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D8A1F" w14:textId="77777777" w:rsidR="00343056" w:rsidRPr="00343056" w:rsidRDefault="00343056" w:rsidP="0034305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8ACF1" w14:textId="77777777" w:rsidR="00343056" w:rsidRPr="00343056" w:rsidRDefault="00343056" w:rsidP="003430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serviços executados de maneira relapsa ou descuidados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5FB0" w14:textId="77777777" w:rsidR="00343056" w:rsidRPr="00343056" w:rsidRDefault="00343056" w:rsidP="00343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BFC3126" w14:textId="77777777" w:rsidR="00A610D7" w:rsidRDefault="00A610D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6373A" w14:textId="77777777" w:rsidR="00A610D7" w:rsidRDefault="00A610D7">
      <w:pPr>
        <w:pStyle w:val="Nivel1"/>
        <w:keepNext w:val="0"/>
        <w:keepLines w:val="0"/>
        <w:spacing w:before="0" w:line="240" w:lineRule="auto"/>
        <w:ind w:left="0" w:firstLine="0"/>
        <w:jc w:val="center"/>
      </w:pPr>
    </w:p>
    <w:p w14:paraId="64B17D4A" w14:textId="77777777" w:rsidR="00A610D7" w:rsidRDefault="00000000">
      <w:pPr>
        <w:pStyle w:val="Nivel1"/>
        <w:keepNext w:val="0"/>
        <w:keepLines w:val="0"/>
        <w:spacing w:before="0" w:line="240" w:lineRule="auto"/>
        <w:ind w:left="0" w:firstLine="0"/>
        <w:jc w:val="center"/>
      </w:pPr>
      <w:r>
        <w:t>MÓDULO 2</w:t>
      </w:r>
    </w:p>
    <w:p w14:paraId="08207C31" w14:textId="77777777" w:rsidR="00A610D7" w:rsidRDefault="00A610D7">
      <w:pPr>
        <w:pStyle w:val="Nivel1"/>
        <w:spacing w:before="0" w:line="240" w:lineRule="auto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52" w:type="dxa"/>
        <w:jc w:val="center"/>
        <w:tblLook w:val="0000" w:firstRow="0" w:lastRow="0" w:firstColumn="0" w:lastColumn="0" w:noHBand="0" w:noVBand="0"/>
      </w:tblPr>
      <w:tblGrid>
        <w:gridCol w:w="2568"/>
        <w:gridCol w:w="5428"/>
        <w:gridCol w:w="1756"/>
      </w:tblGrid>
      <w:tr w:rsidR="00A610D7" w:rsidRPr="00343056" w14:paraId="5182A17C" w14:textId="77777777">
        <w:trPr>
          <w:jc w:val="center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1492463" w14:textId="77777777" w:rsidR="00A610D7" w:rsidRPr="00343056" w:rsidRDefault="000000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>Indicador nº 02</w:t>
            </w:r>
          </w:p>
        </w:tc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E05D9D5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Qualidade do Serviço Prestado </w:t>
            </w:r>
          </w:p>
        </w:tc>
      </w:tr>
      <w:tr w:rsidR="00A610D7" w:rsidRPr="00343056" w14:paraId="7248625C" w14:textId="77777777">
        <w:trPr>
          <w:jc w:val="center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9FB79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11A3D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Descrição</w:t>
            </w:r>
          </w:p>
        </w:tc>
      </w:tr>
      <w:tr w:rsidR="00A610D7" w:rsidRPr="00343056" w14:paraId="20D666B3" w14:textId="77777777">
        <w:trPr>
          <w:jc w:val="center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25935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534C6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Garantir a manutenção dos padrões de qualidade do serviço</w:t>
            </w:r>
          </w:p>
        </w:tc>
      </w:tr>
      <w:tr w:rsidR="00A610D7" w:rsidRPr="00343056" w14:paraId="5F255C22" w14:textId="77777777">
        <w:trPr>
          <w:jc w:val="center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EA18A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Metas a cumprir</w:t>
            </w:r>
          </w:p>
        </w:tc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81409" w14:textId="77777777" w:rsidR="00A610D7" w:rsidRPr="00343056" w:rsidRDefault="00000000">
            <w:pPr>
              <w:pStyle w:val="NormalJustificado"/>
              <w:tabs>
                <w:tab w:val="left" w:pos="851"/>
              </w:tabs>
              <w:rPr>
                <w:sz w:val="20"/>
                <w:szCs w:val="20"/>
              </w:rPr>
            </w:pPr>
            <w:r w:rsidRPr="00343056">
              <w:rPr>
                <w:sz w:val="20"/>
                <w:szCs w:val="20"/>
              </w:rPr>
              <w:t>Executar 100% do serviço de forma a atender as unidades que necessitam do serviço</w:t>
            </w:r>
          </w:p>
        </w:tc>
      </w:tr>
      <w:tr w:rsidR="00A610D7" w:rsidRPr="00343056" w14:paraId="4FB9A627" w14:textId="77777777">
        <w:trPr>
          <w:jc w:val="center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C6D67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D539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Apuração feita pela fiscalização da PROAD</w:t>
            </w:r>
          </w:p>
        </w:tc>
      </w:tr>
      <w:tr w:rsidR="00A610D7" w:rsidRPr="00343056" w14:paraId="33B96A63" w14:textId="77777777">
        <w:trPr>
          <w:trHeight w:val="233"/>
          <w:jc w:val="center"/>
        </w:trPr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7F3B9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Mecanismo de Cálculo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DB39C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 xml:space="preserve">TAREFAS AVALIADAS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3261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PONTUAÇÃO ESTABELECIDA</w:t>
            </w:r>
          </w:p>
        </w:tc>
      </w:tr>
      <w:tr w:rsidR="00A610D7" w:rsidRPr="00343056" w14:paraId="1233C3ED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325D0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E9234" w14:textId="77777777" w:rsidR="00A610D7" w:rsidRPr="0034305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Permitir situação que crie a possibilidade de causar dano físico, lesão corporal ou consequências letais, por ocorrência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8F43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610D7" w:rsidRPr="00343056" w14:paraId="7D82476B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0129E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72818" w14:textId="77777777" w:rsidR="00A610D7" w:rsidRPr="0034305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Suspender ou interromper, salvo motivo de força maior ou caso fortuito, os serviços contratuais por dia e por unidade de atendimento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DB63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610D7" w:rsidRPr="00343056" w14:paraId="7835A033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AC7A4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9841D" w14:textId="77777777" w:rsidR="00A610D7" w:rsidRPr="0034305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Recusar-se a executar serviço determinado pela fiscalização, por serviço e por dia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4CCF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610D7" w:rsidRPr="00343056" w14:paraId="67F2C8FA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FC03C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E9370" w14:textId="77777777" w:rsidR="00A610D7" w:rsidRPr="0034305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Não cumprir determinação formal ou instrução complementar do órgão fiscalizador, por ocorrência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2121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610D7" w:rsidRPr="00343056" w14:paraId="1E193E84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4FE6D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1931D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Não cumprir quaisquer dos itens do TR e seus anexos não previstos nesta tabela de multas, após reincidência formalmente notificada pelo órgão fiscalizador, por item e por ocorrência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6826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610D7" w:rsidRPr="00343056" w14:paraId="559BBD59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01715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26542" w14:textId="77777777" w:rsidR="00A610D7" w:rsidRPr="0034305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Deixar de responder aos questionamentos e chamados registrados pela Contratante no prazo de 3 dias úteis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6CA5" w14:textId="77777777" w:rsidR="00A610D7" w:rsidRPr="00343056" w:rsidRDefault="00A61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0D7" w:rsidRPr="00343056" w14:paraId="73937434" w14:textId="77777777">
        <w:trPr>
          <w:trHeight w:val="232"/>
          <w:jc w:val="center"/>
        </w:trPr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BDD24" w14:textId="77777777" w:rsidR="00A610D7" w:rsidRPr="00343056" w:rsidRDefault="00A610D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F97CE" w14:textId="77777777" w:rsidR="00A610D7" w:rsidRPr="00343056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Não providenciar treinamento para seus funcionários conforme previsto na relação de obrigações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78A1" w14:textId="77777777" w:rsidR="00A610D7" w:rsidRPr="00343056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ADDE62C" w14:textId="77777777" w:rsidR="00A610D7" w:rsidRDefault="00A610D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DD42CC8" w14:textId="77777777" w:rsidR="00A610D7" w:rsidRDefault="00A610D7">
      <w:pPr>
        <w:pStyle w:val="Nivel1"/>
        <w:spacing w:before="0" w:line="240" w:lineRule="auto"/>
        <w:ind w:left="0" w:firstLine="0"/>
        <w:jc w:val="center"/>
      </w:pPr>
    </w:p>
    <w:p w14:paraId="3FC6C5CE" w14:textId="77777777" w:rsidR="00A610D7" w:rsidRDefault="00000000">
      <w:pPr>
        <w:pStyle w:val="Nivel1"/>
        <w:spacing w:before="0" w:line="240" w:lineRule="auto"/>
        <w:ind w:left="0" w:firstLine="0"/>
        <w:jc w:val="center"/>
      </w:pPr>
      <w:r>
        <w:t>MÓDULO 3</w:t>
      </w:r>
    </w:p>
    <w:p w14:paraId="479F3ECF" w14:textId="77777777" w:rsidR="00A610D7" w:rsidRDefault="00A610D7">
      <w:pPr>
        <w:pStyle w:val="Nivel1"/>
        <w:spacing w:before="0" w:line="240" w:lineRule="auto"/>
        <w:ind w:left="0" w:firstLine="0"/>
        <w:jc w:val="center"/>
      </w:pPr>
    </w:p>
    <w:tbl>
      <w:tblPr>
        <w:tblW w:w="9832" w:type="dxa"/>
        <w:jc w:val="center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8032"/>
      </w:tblGrid>
      <w:tr w:rsidR="00A610D7" w:rsidRPr="00343056" w14:paraId="25366694" w14:textId="77777777">
        <w:trPr>
          <w:trHeight w:val="230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97646" w14:textId="77777777" w:rsidR="00A610D7" w:rsidRPr="00343056" w:rsidRDefault="00000000">
            <w:pPr>
              <w:pStyle w:val="TableParagraph"/>
              <w:widowControl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>Início de Vigência</w:t>
            </w:r>
          </w:p>
        </w:tc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2490" w14:textId="77777777" w:rsidR="00A610D7" w:rsidRPr="00343056" w:rsidRDefault="00000000">
            <w:pPr>
              <w:pStyle w:val="TableParagraph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56">
              <w:rPr>
                <w:rFonts w:ascii="Arial" w:hAnsi="Arial" w:cs="Arial"/>
                <w:b/>
                <w:bCs/>
                <w:sz w:val="20"/>
                <w:szCs w:val="20"/>
              </w:rPr>
              <w:t>Imediatamente após o início dos serviços</w:t>
            </w:r>
          </w:p>
        </w:tc>
      </w:tr>
      <w:tr w:rsidR="00A610D7" w:rsidRPr="00343056" w14:paraId="037E4905" w14:textId="77777777">
        <w:trPr>
          <w:trHeight w:val="2456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A136F" w14:textId="77777777" w:rsidR="00A610D7" w:rsidRPr="00343056" w:rsidRDefault="00000000">
            <w:pPr>
              <w:pStyle w:val="TableParagraph"/>
              <w:widowControl/>
              <w:tabs>
                <w:tab w:val="left" w:pos="1799"/>
              </w:tabs>
              <w:ind w:left="57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Faixas de ajustes no pagamento (apuração mensal)</w:t>
            </w:r>
          </w:p>
        </w:tc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850BC" w14:textId="77777777" w:rsidR="00A610D7" w:rsidRPr="00343056" w:rsidRDefault="00000000">
            <w:pPr>
              <w:pStyle w:val="TableParagraph"/>
              <w:widowControl/>
              <w:tabs>
                <w:tab w:val="left" w:pos="568"/>
              </w:tabs>
              <w:spacing w:before="156" w:after="156"/>
              <w:ind w:left="283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A Avaliação Periódica será executada pelo servidor responsável ou por Comissão Específica de Avaliação, constituída por servidores formalmente designados. A avaliação será diária e terá apuração mensal. Será baseada em vistorias e opiniões dos usuários para aferição da qualidade dos serviços prestados.</w:t>
            </w:r>
          </w:p>
          <w:p w14:paraId="025DF3BF" w14:textId="77777777" w:rsidR="00A610D7" w:rsidRPr="00343056" w:rsidRDefault="00000000">
            <w:pPr>
              <w:pStyle w:val="TableParagraph"/>
              <w:widowControl/>
              <w:tabs>
                <w:tab w:val="left" w:pos="512"/>
              </w:tabs>
              <w:spacing w:before="156" w:after="156"/>
              <w:ind w:left="227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 xml:space="preserve">Todas as falhas e </w:t>
            </w:r>
            <w:proofErr w:type="spellStart"/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suas</w:t>
            </w:r>
            <w:proofErr w:type="spellEnd"/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 xml:space="preserve"> respectiva pontuação serão registradas. A depender do resultado da soma da pontuação acumulada pela empresa durante o mês, esta receberá de 0% a 5% de desconto na fatura, de acordo com a gradação a seguir:</w:t>
            </w:r>
          </w:p>
          <w:p w14:paraId="695CA9BF" w14:textId="77777777" w:rsidR="00A610D7" w:rsidRPr="00343056" w:rsidRDefault="00000000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423"/>
              </w:tabs>
              <w:spacing w:before="156" w:after="156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Até 10 pontos – não haverá desconto no valor da fatura mensal</w:t>
            </w:r>
          </w:p>
          <w:p w14:paraId="22E8E98B" w14:textId="77777777" w:rsidR="00A610D7" w:rsidRPr="00343056" w:rsidRDefault="00000000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423"/>
              </w:tabs>
              <w:spacing w:before="156" w:after="156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De 11 a 20 pontos – haverá desconto de 1% no valor da fatura mensal</w:t>
            </w:r>
          </w:p>
          <w:p w14:paraId="5C544C37" w14:textId="77777777" w:rsidR="00A610D7" w:rsidRPr="00343056" w:rsidRDefault="00000000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423"/>
              </w:tabs>
              <w:spacing w:before="156" w:after="156"/>
              <w:ind w:left="0" w:firstLine="0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De 21 a 30 pontos – haverá desconto de 2% no valor da fatura mensal</w:t>
            </w:r>
          </w:p>
          <w:p w14:paraId="28FCC834" w14:textId="77777777" w:rsidR="00A610D7" w:rsidRPr="00343056" w:rsidRDefault="00000000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423"/>
              </w:tabs>
              <w:spacing w:before="156" w:after="156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De 31 a 40 pontos – haverá desconto de 3% no valor da fatura mensal</w:t>
            </w:r>
          </w:p>
          <w:p w14:paraId="04992DCA" w14:textId="77777777" w:rsidR="00A610D7" w:rsidRPr="00343056" w:rsidRDefault="00000000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423"/>
              </w:tabs>
              <w:spacing w:before="156" w:after="156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Mais de 40 pontos – haverá desconto de 5% no valor da fatura mensal</w:t>
            </w:r>
          </w:p>
        </w:tc>
      </w:tr>
      <w:tr w:rsidR="00A610D7" w:rsidRPr="00343056" w14:paraId="08C161C5" w14:textId="77777777">
        <w:trPr>
          <w:trHeight w:val="60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405DB" w14:textId="77777777" w:rsidR="00A610D7" w:rsidRPr="00343056" w:rsidRDefault="00000000">
            <w:pPr>
              <w:pStyle w:val="TableParagraph"/>
              <w:widowControl/>
              <w:ind w:left="57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 xml:space="preserve">Sanções </w:t>
            </w:r>
          </w:p>
          <w:p w14:paraId="61216F82" w14:textId="77777777" w:rsidR="00A610D7" w:rsidRPr="00343056" w:rsidRDefault="00000000">
            <w:pPr>
              <w:pStyle w:val="TableParagraph"/>
              <w:widowControl/>
              <w:ind w:left="57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(Apuração Mensal)</w:t>
            </w:r>
          </w:p>
        </w:tc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FBCF8" w14:textId="77777777" w:rsidR="00A610D7" w:rsidRPr="00343056" w:rsidRDefault="00000000">
            <w:pPr>
              <w:pStyle w:val="TableParagraph"/>
              <w:widowControl/>
              <w:spacing w:before="156" w:after="156"/>
              <w:ind w:left="283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Caso o somatório mensal atinja mais de 40 pontos, além do desconto na fatura previsto no item “Faixas de Ajustes no pagamento (apuração mensal)” – estará passível de multa e rescisão contratual.</w:t>
            </w:r>
          </w:p>
        </w:tc>
      </w:tr>
      <w:tr w:rsidR="00A610D7" w:rsidRPr="00343056" w14:paraId="143AD383" w14:textId="77777777">
        <w:trPr>
          <w:trHeight w:val="60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076B7" w14:textId="77777777" w:rsidR="00A610D7" w:rsidRPr="00343056" w:rsidRDefault="00000000">
            <w:pPr>
              <w:pStyle w:val="TableParagraph"/>
              <w:widowControl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056">
              <w:rPr>
                <w:rFonts w:ascii="Arial" w:hAnsi="Arial" w:cs="Arial"/>
                <w:sz w:val="20"/>
                <w:szCs w:val="20"/>
              </w:rPr>
              <w:t>Observações</w:t>
            </w:r>
          </w:p>
        </w:tc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3481" w14:textId="77777777" w:rsidR="00A610D7" w:rsidRPr="00343056" w:rsidRDefault="00000000">
            <w:pPr>
              <w:pStyle w:val="TableParagraph"/>
              <w:widowControl/>
              <w:spacing w:before="156" w:after="156"/>
              <w:ind w:left="283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As sanções contratuais independem dos descontos previstos nas faixas de ajustes de pagamento, ou seja, podem ser cumulativas.</w:t>
            </w:r>
          </w:p>
          <w:p w14:paraId="2F56139A" w14:textId="77777777" w:rsidR="00A610D7" w:rsidRPr="00343056" w:rsidRDefault="00000000">
            <w:pPr>
              <w:pStyle w:val="TableParagraph"/>
              <w:widowControl/>
              <w:spacing w:before="156" w:after="156"/>
              <w:ind w:left="283"/>
              <w:jc w:val="both"/>
              <w:rPr>
                <w:rFonts w:ascii="Arial" w:hAnsi="Arial" w:cs="Arial"/>
              </w:rPr>
            </w:pPr>
            <w:r w:rsidRPr="00343056">
              <w:rPr>
                <w:rFonts w:ascii="Arial" w:hAnsi="Arial" w:cs="Arial"/>
                <w:sz w:val="20"/>
                <w:szCs w:val="20"/>
                <w:lang w:val="pt-BR"/>
              </w:rPr>
              <w:t>Os valores das multas serão estipulados conforme Termo de Referência.</w:t>
            </w:r>
          </w:p>
        </w:tc>
      </w:tr>
    </w:tbl>
    <w:p w14:paraId="2FD116E4" w14:textId="77777777" w:rsidR="00A610D7" w:rsidRDefault="00A610D7">
      <w:pPr>
        <w:jc w:val="both"/>
      </w:pPr>
    </w:p>
    <w:sectPr w:rsidR="00A610D7">
      <w:headerReference w:type="default" r:id="rId7"/>
      <w:pgSz w:w="11906" w:h="16838"/>
      <w:pgMar w:top="3348" w:right="1134" w:bottom="1134" w:left="1134" w:header="1134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E18A" w14:textId="77777777" w:rsidR="005E2039" w:rsidRDefault="005E2039">
      <w:r>
        <w:separator/>
      </w:r>
    </w:p>
  </w:endnote>
  <w:endnote w:type="continuationSeparator" w:id="0">
    <w:p w14:paraId="030471AA" w14:textId="77777777" w:rsidR="005E2039" w:rsidRDefault="005E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8DC8" w14:textId="77777777" w:rsidR="005E2039" w:rsidRDefault="005E2039">
      <w:r>
        <w:separator/>
      </w:r>
    </w:p>
  </w:footnote>
  <w:footnote w:type="continuationSeparator" w:id="0">
    <w:p w14:paraId="4837372F" w14:textId="77777777" w:rsidR="005E2039" w:rsidRDefault="005E2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DD36" w14:textId="77777777" w:rsidR="00A610D7" w:rsidRDefault="00000000">
    <w:pPr>
      <w:jc w:val="center"/>
    </w:pPr>
    <w:r>
      <w:rPr>
        <w:noProof/>
      </w:rPr>
      <w:drawing>
        <wp:inline distT="0" distB="0" distL="0" distR="0" wp14:anchorId="67F1AE71" wp14:editId="3DBE23E8">
          <wp:extent cx="477520" cy="728980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84" t="-448" r="-684" b="-448"/>
                  <a:stretch>
                    <a:fillRect/>
                  </a:stretch>
                </pic:blipFill>
                <pic:spPr bwMode="auto">
                  <a:xfrm>
                    <a:off x="0" y="0"/>
                    <a:ext cx="47752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D758F3" w14:textId="77777777" w:rsidR="00A610D7" w:rsidRDefault="00000000">
    <w:pPr>
      <w:pStyle w:val="Legenda"/>
      <w:shd w:val="clear" w:color="auto" w:fill="FFFFFF"/>
      <w:spacing w:before="0" w:after="0"/>
      <w:jc w:val="center"/>
      <w:rPr>
        <w:rFonts w:cs="Times New Roman"/>
        <w:b/>
        <w:bCs/>
        <w:i w:val="0"/>
        <w:iCs w:val="0"/>
      </w:rPr>
    </w:pPr>
    <w:r>
      <w:rPr>
        <w:rFonts w:cs="Times New Roman"/>
        <w:b/>
        <w:bCs/>
        <w:i w:val="0"/>
        <w:iCs w:val="0"/>
      </w:rPr>
      <w:t>MINISTÉRIO DA EDUCAÇÃO</w:t>
    </w:r>
  </w:p>
  <w:p w14:paraId="267C578B" w14:textId="77777777" w:rsidR="00A610D7" w:rsidRDefault="00000000">
    <w:pPr>
      <w:shd w:val="clear" w:color="auto" w:fill="FFFFFF"/>
      <w:jc w:val="center"/>
      <w:rPr>
        <w:rFonts w:cs="Times New Roman"/>
        <w:b/>
      </w:rPr>
    </w:pPr>
    <w:r>
      <w:rPr>
        <w:rFonts w:cs="Times New Roman"/>
        <w:b/>
      </w:rPr>
      <w:t>UNIVERSIDADE FEDERAL DA BAHIA</w:t>
    </w:r>
  </w:p>
  <w:p w14:paraId="0B372D51" w14:textId="77777777" w:rsidR="00A610D7" w:rsidRDefault="00000000">
    <w:pPr>
      <w:shd w:val="clear" w:color="auto" w:fill="FFFFFF"/>
      <w:tabs>
        <w:tab w:val="left" w:pos="450"/>
        <w:tab w:val="left" w:pos="510"/>
      </w:tabs>
      <w:jc w:val="center"/>
      <w:rPr>
        <w:rFonts w:cs="Times New Roman"/>
        <w:b/>
        <w:sz w:val="20"/>
        <w:lang w:eastAsia="en-US"/>
      </w:rPr>
    </w:pPr>
    <w:r>
      <w:rPr>
        <w:rFonts w:cs="Times New Roman"/>
        <w:b/>
        <w:sz w:val="20"/>
        <w:lang w:eastAsia="en-US"/>
      </w:rPr>
      <w:t>PRÓ-REITORIA DE ADMINISTRAÇÃO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F2F"/>
    <w:multiLevelType w:val="multilevel"/>
    <w:tmpl w:val="2422A15A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E63C62"/>
    <w:multiLevelType w:val="multilevel"/>
    <w:tmpl w:val="897E3C6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sz w:val="20"/>
        <w:szCs w:val="20"/>
        <w:lang w:val="pt-B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02441606">
    <w:abstractNumId w:val="0"/>
  </w:num>
  <w:num w:numId="2" w16cid:durableId="53400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D7"/>
    <w:rsid w:val="00343056"/>
    <w:rsid w:val="005E2039"/>
    <w:rsid w:val="00A610D7"/>
    <w:rsid w:val="00AF422F"/>
    <w:rsid w:val="00BB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57E2"/>
  <w15:docId w15:val="{DE242857-7D30-4637-95C3-2F3CE3C5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480"/>
      <w:outlineLvl w:val="0"/>
    </w:pPr>
    <w:rPr>
      <w:rFonts w:ascii="Calibri" w:eastAsia="MS Gothic;ＭＳ ゴシック" w:hAnsi="Calibri" w:cs="Calibri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hAnsi="Times New Roman" w:cs="Times New Roman"/>
      <w:sz w:val="20"/>
      <w:szCs w:val="20"/>
      <w:lang w:val="pt-BR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ivel1">
    <w:name w:val="Nivel1"/>
    <w:basedOn w:val="Ttulo1"/>
    <w:qFormat/>
    <w:pPr>
      <w:numPr>
        <w:numId w:val="0"/>
      </w:numPr>
      <w:spacing w:line="276" w:lineRule="auto"/>
      <w:ind w:left="357" w:hanging="357"/>
      <w:jc w:val="both"/>
    </w:pPr>
    <w:rPr>
      <w:rFonts w:ascii="Arial" w:hAnsi="Arial" w:cs="Arial"/>
      <w:color w:val="000000"/>
    </w:rPr>
  </w:style>
  <w:style w:type="paragraph" w:customStyle="1" w:styleId="NormalJustificado">
    <w:name w:val="Normal + Justificado"/>
    <w:basedOn w:val="Normal"/>
    <w:qFormat/>
    <w:pPr>
      <w:jc w:val="both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qFormat/>
    <w:pPr>
      <w:widowControl w:val="0"/>
    </w:pPr>
    <w:rPr>
      <w:rFonts w:ascii="Calibri" w:eastAsia="Calibri" w:hAnsi="Calibri" w:cs="Calibri"/>
      <w:sz w:val="22"/>
      <w:szCs w:val="22"/>
      <w:lang w:val="pt-PT" w:bidi="pt-PT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547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Andrade Caribe</dc:creator>
  <dc:description/>
  <cp:lastModifiedBy>Daniel Andrade Caribe</cp:lastModifiedBy>
  <cp:revision>3</cp:revision>
  <dcterms:created xsi:type="dcterms:W3CDTF">2023-02-24T12:25:00Z</dcterms:created>
  <dcterms:modified xsi:type="dcterms:W3CDTF">2023-02-24T12:34:00Z</dcterms:modified>
  <dc:language>pt-BR</dc:language>
</cp:coreProperties>
</file>